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2"/>
          <w:szCs w:val="4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2"/>
          <w:szCs w:val="42"/>
          <w:lang w:eastAsia="zh-CN"/>
        </w:rPr>
        <w:t>贵州省生态环境厅</w:t>
      </w:r>
      <w:r>
        <w:rPr>
          <w:rFonts w:hint="eastAsia" w:ascii="Times New Roman" w:hAnsi="Times New Roman" w:eastAsia="方正小标宋简体" w:cs="Times New Roman"/>
          <w:sz w:val="42"/>
          <w:szCs w:val="42"/>
          <w:lang w:val="en-US" w:eastAsia="zh-CN"/>
        </w:rPr>
        <w:t>关于助力加快推进全省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z w:val="42"/>
          <w:szCs w:val="42"/>
          <w:lang w:val="en-US" w:eastAsia="zh-CN"/>
        </w:rPr>
      </w:pPr>
      <w:r>
        <w:rPr>
          <w:rFonts w:hint="eastAsia" w:ascii="Times New Roman" w:hAnsi="Times New Roman" w:eastAsia="方正小标宋简体" w:cs="Times New Roman"/>
          <w:sz w:val="42"/>
          <w:szCs w:val="42"/>
          <w:lang w:val="en-US" w:eastAsia="zh-CN"/>
        </w:rPr>
        <w:t>新型工业化绿色低碳发展的若干措施</w:t>
      </w:r>
    </w:p>
    <w:p>
      <w:pPr>
        <w:pStyle w:val="2"/>
        <w:rPr>
          <w:rFonts w:hint="default" w:ascii="Times New Roman" w:hAnsi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18030" w:cs="方正仿宋_GB18030"/>
          <w:snapToGrid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jc w:val="both"/>
        <w:textAlignment w:val="auto"/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为深入贯彻落实习近平总书记关于新型工业化的重要论述和全国、全省新型工业化推进大会精神，紧扣“绿色化”要求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牢牢</w:t>
      </w: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守好发展和生态两条底线，以生态环境保护助力加快推进全省新型工业化，制定如下措施。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黑体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sz w:val="32"/>
          <w:szCs w:val="32"/>
        </w:rPr>
        <w:t>一、</w:t>
      </w:r>
      <w:r>
        <w:rPr>
          <w:rFonts w:hint="eastAsia" w:ascii="Times New Roman" w:hAnsi="Times New Roman" w:eastAsia="黑体" w:cs="黑体"/>
          <w:snapToGrid w:val="0"/>
          <w:sz w:val="32"/>
          <w:szCs w:val="32"/>
          <w:lang w:val="en-US" w:eastAsia="zh-CN"/>
        </w:rPr>
        <w:t>优化环境准入服务，支持新型工业化项目建设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sz w:val="32"/>
          <w:szCs w:val="32"/>
          <w:lang w:val="en-US" w:eastAsia="zh-CN"/>
        </w:rPr>
        <w:t>（一）优化开发区环境准入清单。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结合“三线一单”全面更新评估调整，优化以开发区为主体的重点管控单元的环境准入清单，完善“三线一单”分区管控系统平台建设，发挥生态环境分区管控对园区在环境准入、园区管理、执法监管、规划政策等方面的重要支撑。</w:t>
      </w: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引导项目根据</w:t>
      </w:r>
      <w:r>
        <w:rPr>
          <w:rFonts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开发区</w:t>
      </w: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规划定位、产业链发展要求，</w:t>
      </w:r>
      <w:r>
        <w:rPr>
          <w:rFonts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到开发区</w:t>
      </w:r>
      <w:r>
        <w:rPr>
          <w:rFonts w:hint="eastAsia" w:ascii="Times New Roman" w:hAnsi="Times New Roman" w:eastAsia="方正仿宋_GB18030" w:cs="方正仿宋_GB18030"/>
          <w:snapToGrid w:val="0"/>
          <w:sz w:val="32"/>
          <w:szCs w:val="32"/>
          <w:lang w:val="en-US" w:eastAsia="zh-CN"/>
        </w:rPr>
        <w:t>集聚发展。省生态环保基金优先支持开发区符合条件的项目。</w:t>
      </w:r>
    </w:p>
    <w:p>
      <w:pPr>
        <w:pStyle w:val="8"/>
        <w:ind w:firstLine="640" w:firstLineChars="20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二</w:t>
      </w: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）实行</w:t>
      </w:r>
      <w:r>
        <w:rPr>
          <w:rFonts w:hint="default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环境影响“预评估”</w:t>
      </w: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通过线上“三线一单”系统服务+线下行业专家会诊，进一步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加强对重大建设项目环境可行性的精准预判和政策支撑，在重大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项目招商引资和前期谋划阶段提前介入，提前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预判建设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项目环境可行性，指导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建设项目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主动选择先进可靠的污染防治设施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和生态保护措施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，降低生态环境风险隐患和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  <w:t>项目投资风险。</w:t>
      </w:r>
    </w:p>
    <w:p>
      <w:pPr>
        <w:pStyle w:val="8"/>
        <w:ind w:firstLine="640" w:firstLineChars="200"/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三</w:t>
      </w: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）加强制造业</w:t>
      </w:r>
      <w:r>
        <w:rPr>
          <w:rFonts w:hint="eastAsia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和传统行业改造项目</w:t>
      </w: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环评审批服务。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对按照电镀车间架空建设、工艺流程数控化、污水管网可视化、废水分质处理、集中式污染治理设施兜底建设的电镀集聚区，大幅精简项目环评编制内容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对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钢铁、有色金属、石化化工、建材、轻工、纺织、中药等传统行业涉及改造项目开辟环评审批“绿色通道”，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实施“即到即受理即转评估”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，加快环评审批进程。</w:t>
      </w:r>
    </w:p>
    <w:p>
      <w:pPr>
        <w:pStyle w:val="8"/>
        <w:ind w:firstLine="640" w:firstLineChars="200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四</w:t>
      </w: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）大力支持“富矿精开”。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全面衔接“三区三线”和国土空间规划，将采矿权、划定矿区、探矿权、油气采矿权、开采规划区块、勘察规划区块、战略性矿产资源等矿产开发用地优化调整出一般生态空间，</w:t>
      </w:r>
      <w:r>
        <w:rPr>
          <w:rFonts w:hint="eastAsia" w:cs="Times New Roman"/>
          <w:b w:val="0"/>
          <w:bCs w:val="0"/>
          <w:sz w:val="32"/>
          <w:szCs w:val="32"/>
          <w:lang w:val="en-US" w:eastAsia="zh-CN"/>
        </w:rPr>
        <w:t>将采矿权、划定矿区、探矿权、油气采矿权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纳入重点管控单元，为今后生产生活和矿产资源开发预留出发展空间。</w:t>
      </w:r>
    </w:p>
    <w:p>
      <w:pPr>
        <w:pStyle w:val="8"/>
        <w:ind w:firstLine="640" w:firstLineChars="200"/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（</w:t>
      </w:r>
      <w:r>
        <w:rPr>
          <w:rFonts w:hint="eastAsia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五</w:t>
      </w: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）加强全省重点产业链项目支撑</w:t>
      </w:r>
      <w:r>
        <w:rPr>
          <w:rFonts w:hint="eastAsia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保障</w:t>
      </w: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围绕打造“六大产业基地”</w:t>
      </w:r>
      <w:r>
        <w:rPr>
          <w:rFonts w:hint="eastAsia" w:ascii="Times New Roman" w:hAnsi="Times New Roman" w:cs="Times New Roman"/>
          <w:b w:val="0"/>
          <w:bCs w:val="0"/>
          <w:sz w:val="32"/>
          <w:szCs w:val="32"/>
          <w:lang w:val="en-US" w:eastAsia="zh-CN"/>
        </w:rPr>
        <w:t>、“富矿精开”产业重大项目和重点产业链项目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，建立健全覆盖全省各重点行业、重点区域、重点流域的专家库，建立帮企治污的技术咨询服务保障团队。建立健全重点行业、重大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项目环评管理台账，完善与发展改革、工业和信息化、交通运输、水利、商务、能源等主管部门的协调机制，动态调整、专人跟踪，准确掌握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项目</w:t>
      </w: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信息</w:t>
      </w:r>
      <w:r>
        <w:rPr>
          <w:rFonts w:hint="eastAsia" w:ascii="Times New Roman" w:hAnsi="Times New Roman" w:eastAsia="仿宋_GB2312" w:cs="Times New Roman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及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环评编制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审批情况，</w:t>
      </w:r>
      <w:r>
        <w:rPr>
          <w:rFonts w:hint="eastAsia" w:ascii="Times New Roman" w:hAnsi="Times New Roman" w:eastAsia="仿宋_GB2312" w:cs="Times New Roman"/>
          <w:b w:val="0"/>
          <w:bCs w:val="0"/>
          <w:strike w:val="0"/>
          <w:dstrike w:val="0"/>
          <w:color w:val="000000"/>
          <w:sz w:val="32"/>
          <w:szCs w:val="32"/>
          <w:lang w:val="en-US" w:eastAsia="zh-CN"/>
        </w:rPr>
        <w:t>合力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推动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建设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项目落地。</w:t>
      </w:r>
    </w:p>
    <w:p>
      <w:pPr>
        <w:pStyle w:val="8"/>
        <w:numPr>
          <w:ilvl w:val="0"/>
          <w:numId w:val="0"/>
        </w:numPr>
        <w:ind w:firstLine="640" w:firstLineChars="200"/>
        <w:rPr>
          <w:rFonts w:hint="default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二、严格环境准入，</w:t>
      </w:r>
      <w:r>
        <w:rPr>
          <w:rFonts w:hint="eastAsia" w:ascii="Times New Roman" w:hAnsi="Times New Roman" w:eastAsia="黑体" w:cs="黑体"/>
          <w:snapToGrid w:val="0"/>
          <w:sz w:val="32"/>
          <w:szCs w:val="32"/>
          <w:lang w:val="en-US" w:eastAsia="zh-CN"/>
        </w:rPr>
        <w:t>推进新型工业化项目高质量发展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4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Times New Roman" w:hAnsi="Times New Roman" w:eastAsia="黑体" w:cs="黑体"/>
          <w:snapToGrid w:val="0"/>
          <w:color w:val="auto"/>
          <w:spacing w:val="0"/>
          <w:w w:val="100"/>
          <w:kern w:val="2"/>
          <w:position w:val="0"/>
          <w:sz w:val="32"/>
          <w:szCs w:val="32"/>
          <w:u w:val="none"/>
          <w:vertAlign w:val="baseline"/>
          <w:lang w:val="en-US" w:eastAsia="zh-CN" w:bidi="ar-SA"/>
        </w:rPr>
        <w:t>（六）严守生态环保底线。</w:t>
      </w:r>
      <w:r>
        <w:rPr>
          <w:rFonts w:hint="eastAsia" w:ascii="Times New Roman" w:hAnsi="Times New Roman" w:eastAsia="仿宋_GB2312" w:cs="仿宋_GB2312"/>
          <w:b w:val="0"/>
          <w:bCs w:val="0"/>
          <w:i w:val="0"/>
          <w:iCs w:val="0"/>
          <w:caps w:val="0"/>
          <w:color w:val="auto"/>
          <w:spacing w:val="4"/>
          <w:kern w:val="0"/>
          <w:sz w:val="32"/>
          <w:szCs w:val="32"/>
          <w:shd w:val="clear" w:color="auto" w:fill="FFFFFF"/>
          <w:lang w:val="en-US" w:eastAsia="zh-CN" w:bidi="ar"/>
        </w:rPr>
        <w:t>坚持生态环境绿色发展，守住法律、标准和环境质量底线要求，严格环评与排污许可制度把关，有效预防打击“未批先建”违法行为。对于涉“两高”、生态敏感类、社会关注度高、环境风险隐患高等项目，严格环评审查，坚决遏制盲目发展、避免污染转移、防范圈水圈地、化解“邻避”效应、守住环境安全底线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eastAsia" w:ascii="Times New Roman" w:hAnsi="Times New Roman" w:eastAsia="仿宋_GB2312" w:cs="仿宋_GB2312"/>
          <w:color w:val="auto"/>
          <w:position w:val="0"/>
          <w:sz w:val="32"/>
          <w:szCs w:val="32"/>
        </w:rPr>
      </w:pPr>
      <w:r>
        <w:rPr>
          <w:rFonts w:hint="eastAsia" w:ascii="Times New Roman" w:hAnsi="Times New Roman" w:eastAsia="黑体" w:cs="黑体"/>
          <w:snapToGrid w:val="0"/>
          <w:color w:val="auto"/>
          <w:spacing w:val="0"/>
          <w:w w:val="100"/>
          <w:kern w:val="2"/>
          <w:position w:val="0"/>
          <w:sz w:val="32"/>
          <w:szCs w:val="32"/>
          <w:u w:val="none"/>
          <w:vertAlign w:val="baseline"/>
          <w:lang w:val="en-US" w:eastAsia="zh-CN" w:bidi="ar-SA"/>
        </w:rPr>
        <w:t>（七）强化规划环评刚性约束。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着力优化提升规划环评的科学性和实用性，加强规划环评与区域产业发展、环境质量底线、环境安全底线的衔接。对全省能源、石化化工、锰产业、酱香白酒等重点产业和入园项目，坚持将规划环评作为项目环评审批的刚性前置约束条件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auto"/>
          <w:spacing w:val="0"/>
          <w:w w:val="100"/>
          <w:kern w:val="2"/>
          <w:position w:val="0"/>
          <w:sz w:val="32"/>
          <w:szCs w:val="32"/>
          <w:u w:val="none"/>
          <w:vertAlign w:val="baseline"/>
          <w:lang w:val="en-US" w:eastAsia="zh-CN" w:bidi="ar-SA"/>
        </w:rPr>
        <w:t>（八）严格“三挂钩”要求。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与“三线一单”、规划环评挂钩；与区域环境质量、总量挂钩；与行业工艺水平治污水平挂钩，从严把握限制类产业项目，坚决防止禁止类项目建设；严把高耗能高排放项目准入关口，原则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 w:bidi="ar-SA"/>
        </w:rPr>
        <w:t>上不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bidi="ar-SA"/>
        </w:rPr>
        <w:t>再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 w:bidi="ar-SA"/>
        </w:rPr>
        <w:t>审批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bidi="ar-SA"/>
        </w:rPr>
        <w:t>新增自备燃煤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val="en-US" w:eastAsia="zh-CN" w:bidi="ar-SA"/>
        </w:rPr>
        <w:t>发电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bidi="ar-SA"/>
        </w:rPr>
        <w:t>机组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u w:val="none"/>
          <w:lang w:eastAsia="zh-CN" w:bidi="ar-SA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严格落实污染物排放区域削减要求，强化与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工信、发改等行业主管部门沟通协调，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建立与发改、工信部门对“两高”项目的联评联审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</w:rPr>
        <w:t>工作机制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科学稳妥推进“两高”项目。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eastAsia" w:ascii="Times New Roman" w:hAnsi="Times New Roman" w:eastAsia="仿宋_GB2312" w:cs="仿宋_GB2312"/>
          <w:color w:val="auto"/>
          <w:position w:val="0"/>
          <w:sz w:val="32"/>
          <w:szCs w:val="32"/>
        </w:rPr>
      </w:pPr>
      <w:r>
        <w:rPr>
          <w:rFonts w:hint="eastAsia" w:ascii="Times New Roman" w:hAnsi="Times New Roman" w:eastAsia="黑体" w:cs="黑体"/>
          <w:snapToGrid w:val="0"/>
          <w:color w:val="auto"/>
          <w:spacing w:val="0"/>
          <w:w w:val="100"/>
          <w:kern w:val="2"/>
          <w:position w:val="0"/>
          <w:sz w:val="32"/>
          <w:szCs w:val="32"/>
          <w:u w:val="none"/>
          <w:vertAlign w:val="baseline"/>
          <w:lang w:val="en-US" w:eastAsia="zh-CN" w:bidi="ar-SA"/>
        </w:rPr>
        <w:t>（九）强化环境风险管控。</w:t>
      </w:r>
      <w:r>
        <w:rPr>
          <w:rFonts w:hint="eastAsia" w:ascii="仿宋_GB2312" w:eastAsia="仿宋_GB2312" w:cs="仿宋_GB2312"/>
          <w:color w:val="auto"/>
          <w:sz w:val="32"/>
          <w:szCs w:val="32"/>
          <w:lang w:bidi="ar-SA"/>
        </w:rPr>
        <w:t>充分发挥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  <w:t>生态环境分区管控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-SA"/>
        </w:rPr>
        <w:t>的</w:t>
      </w:r>
      <w:r>
        <w:rPr>
          <w:rFonts w:hint="eastAsia" w:ascii="仿宋_GB2312" w:eastAsia="仿宋_GB2312" w:cs="仿宋_GB2312"/>
          <w:color w:val="auto"/>
          <w:sz w:val="32"/>
          <w:szCs w:val="32"/>
          <w:lang w:bidi="ar-SA"/>
        </w:rPr>
        <w:t>作用，在园区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-SA"/>
        </w:rPr>
        <w:t>建设</w:t>
      </w:r>
      <w:r>
        <w:rPr>
          <w:rFonts w:hint="eastAsia" w:ascii="仿宋_GB2312" w:eastAsia="仿宋_GB2312" w:cs="仿宋_GB2312"/>
          <w:color w:val="auto"/>
          <w:sz w:val="32"/>
          <w:szCs w:val="32"/>
          <w:lang w:bidi="ar-SA"/>
        </w:rPr>
        <w:t>、产业发展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 w:bidi="ar-SA"/>
        </w:rPr>
        <w:t>、能源利用、重点区域和流域开发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  <w:t>过程中</w:t>
      </w:r>
      <w:r>
        <w:rPr>
          <w:rFonts w:hint="eastAsia" w:ascii="仿宋_GB2312" w:eastAsia="仿宋_GB2312" w:cs="仿宋_GB2312"/>
          <w:color w:val="auto"/>
          <w:sz w:val="32"/>
          <w:szCs w:val="32"/>
          <w:lang w:bidi="ar-SA"/>
        </w:rPr>
        <w:t>，</w:t>
      </w:r>
      <w:r>
        <w:rPr>
          <w:rFonts w:hint="eastAsia" w:ascii="仿宋_GB2312" w:eastAsia="仿宋_GB2312" w:cs="仿宋_GB2312"/>
          <w:color w:val="auto"/>
          <w:sz w:val="32"/>
          <w:szCs w:val="32"/>
          <w:lang w:val="en-US" w:eastAsia="zh-CN" w:bidi="ar-SA"/>
        </w:rPr>
        <w:t>切实落实好空间布局约束、污染物排放管控、环境风险管控和资源开发效率要求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，引导项目选址布局，合理避让环境隐患区域，有针对性地提出环境风险预防措施，确保环境安全底线。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eastAsia" w:ascii="Times New Roman" w:hAnsi="Times New Roman" w:eastAsia="黑体" w:cs="黑体"/>
          <w:snapToGrid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三、强化环境监管，推动</w:t>
      </w:r>
      <w:r>
        <w:rPr>
          <w:rFonts w:hint="eastAsia" w:ascii="Times New Roman" w:hAnsi="Times New Roman" w:eastAsia="黑体" w:cs="黑体"/>
          <w:snapToGrid w:val="0"/>
          <w:sz w:val="32"/>
          <w:szCs w:val="32"/>
          <w:lang w:val="en-US" w:eastAsia="zh-CN"/>
        </w:rPr>
        <w:t>新型工业化项目健康运行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eastAsia" w:ascii="Times New Roman" w:hAnsi="Times New Roman" w:eastAsia="仿宋_GB2312"/>
          <w:sz w:val="32"/>
          <w:szCs w:val="32"/>
          <w:lang w:val="zh-CN" w:eastAsia="zh-CN"/>
        </w:rPr>
      </w:pP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（十）开展开发区污染防治攻坚专项行动。</w:t>
      </w:r>
      <w:r>
        <w:rPr>
          <w:rFonts w:hint="eastAsia" w:ascii="Times New Roman" w:hAnsi="Times New Roman" w:eastAsia="仿宋_GB2312" w:cs="仿宋_GB2312"/>
          <w:snapToGrid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认真落实贵州省开发区生态环境保护专项行动工作方案</w:t>
      </w:r>
      <w:r>
        <w:rPr>
          <w:rFonts w:hint="eastAsia" w:ascii="Times New Roman" w:hAnsi="Times New Roman" w:cs="仿宋_GB2312"/>
          <w:snapToGrid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en-US" w:eastAsia="zh-CN" w:bidi="ar-SA"/>
        </w:rPr>
        <w:t>，</w:t>
      </w:r>
      <w:r>
        <w:rPr>
          <w:rFonts w:hint="eastAsia" w:ascii="Times New Roman" w:hAnsi="Times New Roman" w:eastAsia="仿宋_GB2312" w:cs="仿宋_GB2312"/>
          <w:snapToGrid/>
          <w:color w:val="auto"/>
          <w:spacing w:val="0"/>
          <w:w w:val="100"/>
          <w:kern w:val="0"/>
          <w:position w:val="0"/>
          <w:sz w:val="32"/>
          <w:szCs w:val="32"/>
          <w:u w:val="none" w:color="auto"/>
          <w:vertAlign w:val="baseline"/>
          <w:lang w:val="zh-CN" w:eastAsia="zh-CN" w:bidi="ar-SA"/>
        </w:rPr>
        <w:t>围绕</w:t>
      </w:r>
      <w:r>
        <w:rPr>
          <w:rFonts w:ascii="Times New Roman" w:hAnsi="Times New Roman" w:eastAsia="仿宋_GB2312"/>
          <w:sz w:val="32"/>
          <w:szCs w:val="32"/>
          <w:lang w:val="zh-CN"/>
        </w:rPr>
        <w:t>开发区生态环境准入、环境风险防范、环境污染治理、环境监管4大重点方面进行全面排查整治，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持续</w:t>
      </w:r>
      <w:r>
        <w:rPr>
          <w:rFonts w:ascii="Times New Roman" w:hAnsi="Times New Roman" w:eastAsia="仿宋_GB2312"/>
          <w:sz w:val="32"/>
          <w:szCs w:val="32"/>
          <w:lang w:val="zh-CN"/>
        </w:rPr>
        <w:t>全省开发区污染防治攻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坚专项行动，全面提升开发区污水收集处理效能，提高化工园区环境风险防范能力，有效解决开发区突出生态环境问题，实现企业绿色发展、基础设施完善、环境管理规范、环境风险可控，为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加快推进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全省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新型工业化</w:t>
      </w:r>
      <w:r>
        <w:rPr>
          <w:rFonts w:hint="eastAsia" w:ascii="Times New Roman" w:hAnsi="Times New Roman" w:eastAsia="仿宋_GB2312"/>
          <w:sz w:val="32"/>
          <w:szCs w:val="32"/>
          <w:lang w:val="zh-CN" w:eastAsia="zh-CN"/>
        </w:rPr>
        <w:t>提供环境基础支持。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黑体" w:cs="黑体"/>
          <w:snapToGrid w:val="0"/>
          <w:color w:val="auto"/>
          <w:spacing w:val="0"/>
          <w:w w:val="100"/>
          <w:kern w:val="2"/>
          <w:position w:val="0"/>
          <w:sz w:val="32"/>
          <w:szCs w:val="32"/>
          <w:u w:val="none"/>
          <w:vertAlign w:val="baseline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（十一）建立完善地方生态环境标准体系。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严格执行落实污染物排放（控制）和风险管控等强制性标准。根据客观实际，会同省市场监管局持续建立完善地方生态环境标准体系。积极推动对没有国家污染物排放标准的特色产业、特有污染物，或者国家有明确要求的特定污染源或者污染物，补充制定地方污染物排放标准；对存在产业密集、环境问题突出，或者现有污染物排放标准不能满足当地环境质量要求，或者当地环境形势复杂，无法适用统一的污染物排放标准等情形的，依法依规推动制定严于国家污染物排放标准的地方污染物排放标准；试点推动制定酱香型白酒行业水污染排放标准、污染防治规范、减污降碳技术指南及全过程环境管理指南，通过建立完善污染防治标准体系，引领产业高质量发展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snapToGrid w:val="0"/>
          <w:color w:val="auto"/>
          <w:spacing w:val="0"/>
          <w:w w:val="100"/>
          <w:kern w:val="2"/>
          <w:position w:val="0"/>
          <w:sz w:val="32"/>
          <w:szCs w:val="32"/>
          <w:u w:val="none"/>
          <w:vertAlign w:val="baseline"/>
          <w:lang w:val="en-US" w:eastAsia="zh-CN" w:bidi="ar-SA"/>
        </w:rPr>
        <w:t>（十二）开展专项检查指导。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对露天煤矿、磷煤化工、新能源电池材料等重大项目开展专项检查，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加强现场指导，督促建设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项目业主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严格执行环境保护“三同时”制度，完善污染防治设施建设，</w:t>
      </w:r>
      <w:r>
        <w:rPr>
          <w:rFonts w:hint="default" w:ascii="Times New Roman" w:hAnsi="Times New Roman" w:eastAsia="仿宋_GB2312" w:cs="Times New Roman"/>
          <w:b w:val="0"/>
          <w:bCs w:val="0"/>
          <w:strike w:val="0"/>
          <w:dstrike w:val="0"/>
          <w:color w:val="000000"/>
          <w:sz w:val="32"/>
          <w:szCs w:val="32"/>
          <w:u w:val="none"/>
          <w:lang w:val="en-US" w:eastAsia="zh-CN"/>
        </w:rPr>
        <w:t>保证环保设施正常运转，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确保污染物达标排放。持续开展生态环境风险隐患排查，指导帮助企业规范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生态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环境安全管理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化解风险隐患，避免突发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生态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环境事件发生。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40" w:firstLineChars="200"/>
        <w:jc w:val="both"/>
        <w:rPr>
          <w:rFonts w:hint="default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黑体" w:cs="黑体"/>
          <w:snapToGrid w:val="0"/>
          <w:color w:val="auto"/>
          <w:kern w:val="2"/>
          <w:sz w:val="32"/>
          <w:szCs w:val="32"/>
          <w:lang w:val="en-US" w:eastAsia="zh-CN" w:bidi="ar-SA"/>
        </w:rPr>
        <w:t>四、强化要素保障，支持新型工业化绿色低碳发展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（十三）狠抓工业固废资源化利用和无害化处置。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聚焦磷石膏、赤泥、锰渣等大宗工业固体废物综合利用内容，推进工业固废有价组分提取、建材生产、井下充填、市政设施建设、道路材料、生态修复等领域的规模化利用；研究制定磷石膏、锰渣等工业固废无害化处置技术标准、应用规程、风险评估等系列标准；力争形成和凝练技术成果，并在全省推广运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（十四）推动产业融合共生与区域协同发展。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推进松桃锰系新材料产业园建设，加强松桃与大龙经开区锰系及关联新材料产业的联动集群发展。依托福泉、瓮安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2 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 xml:space="preserve">个国家级工业资源综合利用基地和开阳、大龙、钟山、兴义等 </w:t>
      </w:r>
      <w:r>
        <w:rPr>
          <w:rFonts w:hint="default" w:ascii="Times New Roman" w:hAnsi="Times New Roman" w:eastAsia="宋体" w:cs="Times New Roman"/>
          <w:color w:val="000000"/>
          <w:kern w:val="0"/>
          <w:sz w:val="31"/>
          <w:szCs w:val="31"/>
          <w:lang w:val="en-US" w:eastAsia="zh-CN" w:bidi="ar"/>
        </w:rPr>
        <w:t xml:space="preserve">9 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个工业资源综合利用基地，协同布局冶炼废渣回收等经济附加值较高的产业，区域共治，强化产业间的资源耦合、原料互补、生态链接，推动大宗固体废物跨区域协同处置利用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（十五）支持环保产业发展。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支持有条件的地区结合各地资源禀赋与产业基础，建设环保产业集聚区，并鼓励国有企业深度参与环保产业集聚区建设。引导各类资本参与环保产业相关项目的投资、建设、运营，拓宽生态环保投融资渠道，充分发挥“四化”和生态环保、新动能基金等支持产业发展作用，帮助指导各地开展市场化投资项目谋划、收集和储备，以及探索推广生态环境导向开发模式（EOD），争取社会资本和金融机构支持。鼓励开发区委托第三方治理企业提供包括环境污染问题诊断、系统解决方案，污水和固体废物集中处理处置、烟气治理、污染物排放监测以及监管信息平台等环境综合治理服务，提升开发区环境治理和节能减排水平，培育壮大环境服务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（十六）加强科技支撑。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围绕绿色节能减排等重点领域，大力推进关键技术攻关和科技成果转化应用，深化大数据、人工智能等数字技术应用，全面提升生态环境智慧治理水平。围绕减污降碳、多污染物协同减排、应对气候变化、新污染物治理、生物多样性保护和生态安全等方向，实施科技攻关。鼓励和支持有条件的企业建立环保研发机构、重点实验室、工程技术中心及检测中心等，支持企业与高等院校、科研机构开展环保重大技术攻关和关键共性技术设备攻关，加快推动环保科技成果转化和推广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left="0" w:right="0" w:firstLine="656" w:firstLineChars="200"/>
        <w:jc w:val="both"/>
        <w:rPr>
          <w:rFonts w:hint="eastAsia" w:ascii="Times New Roman" w:hAnsi="Times New Roman" w:eastAsia="楷体" w:cs="楷体"/>
          <w:b w:val="0"/>
          <w:bCs w:val="0"/>
          <w:i w:val="0"/>
          <w:iCs w:val="0"/>
          <w:caps w:val="0"/>
          <w:color w:val="auto"/>
          <w:spacing w:val="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bidi w:val="0"/>
        <w:snapToGrid/>
        <w:spacing w:before="0" w:beforeAutospacing="0" w:after="0" w:afterAutospacing="0" w:line="578" w:lineRule="exact"/>
        <w:ind w:right="0"/>
        <w:jc w:val="both"/>
        <w:rPr>
          <w:rFonts w:hint="eastAsia" w:ascii="Times New Roman" w:hAnsi="Times New Roman" w:eastAsia="楷体" w:cs="楷体"/>
          <w:b w:val="0"/>
          <w:bCs w:val="0"/>
          <w:i w:val="0"/>
          <w:iCs w:val="0"/>
          <w:caps w:val="0"/>
          <w:color w:val="auto"/>
          <w:spacing w:val="4"/>
          <w:kern w:val="0"/>
          <w:sz w:val="32"/>
          <w:szCs w:val="32"/>
          <w:highlight w:val="none"/>
          <w:shd w:val="clear" w:color="auto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5270" w:firstLineChars="1700"/>
        <w:textAlignment w:val="auto"/>
        <w:outlineLvl w:val="9"/>
        <w:rPr>
          <w:rFonts w:ascii="Times New Roman" w:hAnsi="Times New Roman"/>
        </w:rPr>
      </w:pP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2024年1月4日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ans">
    <w:altName w:val="宋体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CJK SC Regular">
    <w:panose1 w:val="020B0500000000000000"/>
    <w:charset w:val="86"/>
    <w:family w:val="auto"/>
    <w:pitch w:val="default"/>
    <w:sig w:usb0="30000003" w:usb1="2BDF3C10" w:usb2="00000016" w:usb3="00000000" w:csb0="602E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18030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xOTIwNWUyNDNjZDQ5YjI0N2MzNGI0ZGU5ZGMyM2EifQ=="/>
  </w:docVars>
  <w:rsids>
    <w:rsidRoot w:val="467522A8"/>
    <w:rsid w:val="176EAB44"/>
    <w:rsid w:val="1DD84184"/>
    <w:rsid w:val="1E110B05"/>
    <w:rsid w:val="216D4DB6"/>
    <w:rsid w:val="467522A8"/>
    <w:rsid w:val="4AE00D3D"/>
    <w:rsid w:val="5FD820B8"/>
    <w:rsid w:val="77DB23A7"/>
    <w:rsid w:val="7C7F8567"/>
    <w:rsid w:val="FCD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3">
    <w:name w:val="Heading"/>
    <w:basedOn w:val="1"/>
    <w:next w:val="4"/>
    <w:qFormat/>
    <w:uiPriority w:val="0"/>
    <w:pPr>
      <w:keepNext/>
      <w:widowControl w:val="0"/>
      <w:suppressAutoHyphens/>
      <w:spacing w:before="240" w:after="120"/>
    </w:pPr>
    <w:rPr>
      <w:rFonts w:ascii="Liberation Sans" w:hAnsi="Liberation Sans" w:eastAsia="Noto Sans CJK SC Regular" w:cs="Noto Sans CJK SC Regular"/>
      <w:sz w:val="28"/>
      <w:szCs w:val="28"/>
      <w:lang w:bidi="ar-SA"/>
    </w:rPr>
  </w:style>
  <w:style w:type="paragraph" w:styleId="4">
    <w:name w:val="Body Text"/>
    <w:basedOn w:val="1"/>
    <w:next w:val="1"/>
    <w:qFormat/>
    <w:uiPriority w:val="0"/>
    <w:pPr>
      <w:spacing w:before="0" w:after="140" w:line="276" w:lineRule="auto"/>
    </w:pPr>
  </w:style>
  <w:style w:type="paragraph" w:styleId="5">
    <w:name w:val="Normal (Web)"/>
    <w:basedOn w:val="1"/>
    <w:qFormat/>
    <w:uiPriority w:val="0"/>
    <w:pPr>
      <w:keepNext w:val="0"/>
      <w:keepLines w:val="0"/>
      <w:pageBreakBefore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jc w:val="left"/>
      <w:textAlignment w:val="auto"/>
      <w:outlineLvl w:val="9"/>
    </w:pPr>
    <w:rPr>
      <w:rFonts w:ascii="宋体" w:eastAsia="宋体"/>
      <w:snapToGrid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lang w:val="en-US" w:eastAsia="zh-CN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 w:eastAsia="仿宋_GB2312" w:cs="宋体"/>
      <w:color w:val="000000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Office_11.8.2.1123_F1E327BC-269C-435d-A152-05C5408002CA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2023-12-13T22:17:00Z</dcterms:created>
  <dc:creator>Kevin</dc:creator>
  <cp:lastModifiedBy>ysgz</cp:lastModifiedBy>
  <dcterms:modified xsi:type="dcterms:W3CDTF">2024-01-04T15:28:13Z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2052-11.8.2.1123</vt:lpwstr>
  </property>
  <property fmtid="{D5CDD505-2E9C-101B-9397-08002B2CF9AE}" pid="3" name="ICV">
    <vt:lpwstr>F669AA098D493CEE0D5E96654420B5AC</vt:lpwstr>
  </property>
</Properties>
</file>